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8561BF" w14:paraId="51B936E2" w14:textId="77777777" w:rsidTr="00FC17C9">
        <w:trPr>
          <w:trHeight w:val="289"/>
        </w:trPr>
        <w:tc>
          <w:tcPr>
            <w:tcW w:w="988" w:type="dxa"/>
            <w:shd w:val="clear" w:color="auto" w:fill="auto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2BD74A" w14:textId="71827CF6" w:rsidR="00060C29" w:rsidRPr="00D64E17" w:rsidRDefault="00060C29" w:rsidP="0018335F">
            <w:pPr>
              <w:jc w:val="center"/>
              <w:rPr>
                <w:lang w:val="es-MX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21F0F910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2B203F4A" w14:textId="033C4FD1" w:rsidR="00E50371" w:rsidRPr="00D50DC7" w:rsidRDefault="001F0C8C" w:rsidP="00B772EE">
      <w:pPr>
        <w:numPr>
          <w:ilvl w:val="1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1F0C8C">
        <w:rPr>
          <w:lang w:val="es-MX"/>
        </w:rPr>
        <w:t xml:space="preserve">Establecer la clasificación y etiquetado para </w:t>
      </w:r>
      <w:r>
        <w:rPr>
          <w:lang w:val="es-MX"/>
        </w:rPr>
        <w:t>protección de la información en un</w:t>
      </w:r>
      <w:r w:rsidRPr="001F0C8C">
        <w:rPr>
          <w:lang w:val="es-MX"/>
        </w:rPr>
        <w:t xml:space="preserve"> nivel adecuado </w:t>
      </w:r>
      <w:r>
        <w:rPr>
          <w:lang w:val="es-MX"/>
        </w:rPr>
        <w:t>para la</w:t>
      </w:r>
      <w:r w:rsidRPr="001F0C8C">
        <w:rPr>
          <w:lang w:val="es-MX"/>
        </w:rPr>
        <w:t xml:space="preserve"> Organización</w:t>
      </w:r>
      <w:r w:rsidR="00D50DC7" w:rsidRPr="00D50DC7">
        <w:rPr>
          <w:rFonts w:cs="Arial"/>
          <w:lang w:val="es-MX"/>
        </w:rPr>
        <w:t>.</w:t>
      </w:r>
    </w:p>
    <w:p w14:paraId="55A0E62C" w14:textId="77777777" w:rsidR="00BB7846" w:rsidRPr="00BB7846" w:rsidRDefault="00BB7846" w:rsidP="00B772EE">
      <w:pPr>
        <w:overflowPunct/>
        <w:autoSpaceDE/>
        <w:autoSpaceDN/>
        <w:adjustRightInd/>
        <w:spacing w:beforeLines="50" w:before="120" w:afterLines="50" w:after="120"/>
        <w:ind w:left="720"/>
        <w:jc w:val="both"/>
        <w:textAlignment w:val="auto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476D0510" w:rsidR="00E8237D" w:rsidRPr="001F0C8C" w:rsidRDefault="001F0C8C" w:rsidP="001F0C8C">
      <w:pPr>
        <w:numPr>
          <w:ilvl w:val="1"/>
          <w:numId w:val="2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lang w:val="es-MX"/>
        </w:rPr>
      </w:pPr>
      <w:r w:rsidRPr="001F0C8C">
        <w:rPr>
          <w:lang w:val="es-MX"/>
        </w:rPr>
        <w:t>Este documento aplica al Sistema de Gestión de Seguridad de la Información (SGSI); es decir, a todos los tipos de información independientemente del formato, ya sean documentos en papel o electrónicos, aplicaciones y bases de datos, conocimiento de las personas. Y aplica sin excepción a todos los empleados de la Organización</w:t>
      </w:r>
      <w:r w:rsidR="00872C12" w:rsidRPr="00576AC4">
        <w:rPr>
          <w:lang w:val="es-MX"/>
        </w:rPr>
        <w:t>.</w:t>
      </w:r>
    </w:p>
    <w:p w14:paraId="20A15F51" w14:textId="77777777" w:rsidR="00BD7A76" w:rsidRPr="00BD7A76" w:rsidRDefault="00BD7A76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</w:p>
    <w:p w14:paraId="071ADD03" w14:textId="0571A4C1" w:rsidR="001F0C8C" w:rsidRPr="00113708" w:rsidRDefault="001F0C8C" w:rsidP="009C104C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lang w:val="es-MX"/>
        </w:rPr>
      </w:pPr>
      <w:r w:rsidRPr="00113708">
        <w:rPr>
          <w:b/>
          <w:lang w:val="es-MX"/>
        </w:rPr>
        <w:t>Rubros o categorías de clasificación de la información</w:t>
      </w:r>
      <w:r w:rsidRPr="00113708">
        <w:rPr>
          <w:b/>
          <w:lang w:val="es-MX"/>
        </w:rPr>
        <w:t>.</w:t>
      </w:r>
    </w:p>
    <w:p w14:paraId="7C9021D4" w14:textId="3B076280" w:rsidR="001F0C8C" w:rsidRDefault="001F0C8C" w:rsidP="001F0C8C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1F0C8C">
        <w:rPr>
          <w:b/>
          <w:szCs w:val="16"/>
          <w:lang w:val="es-MX"/>
        </w:rPr>
        <w:t>Información pública:</w:t>
      </w:r>
      <w:r w:rsidRPr="001F0C8C">
        <w:rPr>
          <w:szCs w:val="16"/>
          <w:lang w:val="es-MX"/>
        </w:rPr>
        <w:t xml:space="preserve"> Información de uso general que por su contenido o contexto no requiere de protección especial y su distribución pública ha sido permitida a través de canales autorizados por la empresa. Es la información que no es considerada como protegida, cuyo acceso al público es permanente, libre, fácil, gratuito y expedito. También se considera información pública, la información de libre acceso que debe publicarse y difundirse de manera universal, permanente, actualizada y en el caso de la información electrónica, a través de formatos amigables para el ciudadano, sin que se requiera solicitud de la parte interesada. El propietario del activo será el responsable de clasificar su información</w:t>
      </w:r>
      <w:r>
        <w:rPr>
          <w:szCs w:val="16"/>
          <w:lang w:val="es-MX"/>
        </w:rPr>
        <w:t>.</w:t>
      </w:r>
    </w:p>
    <w:p w14:paraId="11A7F776" w14:textId="741E2936" w:rsidR="00113708" w:rsidRPr="00113708" w:rsidRDefault="001F0C8C" w:rsidP="001F0C8C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Información reservada:</w:t>
      </w:r>
      <w:r w:rsidRPr="00113708">
        <w:rPr>
          <w:lang w:val="es-MX"/>
        </w:rPr>
        <w:t xml:space="preserve"> Se considera información reservada cuando la divulgación debe ser restringida únicamente al personal que la requiere conocer, con previa autorización del responsable de la misma. El propietario es el r</w:t>
      </w:r>
      <w:r w:rsidR="00113708" w:rsidRPr="00113708">
        <w:rPr>
          <w:lang w:val="es-MX"/>
        </w:rPr>
        <w:t>esponsable de su clasificación.</w:t>
      </w:r>
    </w:p>
    <w:p w14:paraId="255A8AE3" w14:textId="02C446C4" w:rsidR="001F0C8C" w:rsidRPr="00113708" w:rsidRDefault="001F0C8C" w:rsidP="001F0C8C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Información Confidencial:</w:t>
      </w:r>
      <w:r w:rsidRPr="00113708">
        <w:rPr>
          <w:lang w:val="es-MX"/>
        </w:rPr>
        <w:t xml:space="preserve"> Este tipo de información es protegida, intransferible e indelegable, queda prohibido su acceso, distribución, comercialización, publicación y difusión de forma permanente, con excepción de las autoridades competentes que conforme a la ley tengan acceso a ella y de los particulares titulares de dicha información. Es el más alto nivel de clasificación de la información y debe ser utilizado sobre la premisa de que la divulgación de la misma está estrictamente limitada y predeterminada a un número restringido de personas que asumen la responsabilidad de protegerla. El propietario es el responsable de su clasificación</w:t>
      </w:r>
      <w:r w:rsidR="00113708" w:rsidRPr="00113708">
        <w:rPr>
          <w:lang w:val="es-MX"/>
        </w:rPr>
        <w:t>.</w:t>
      </w:r>
    </w:p>
    <w:p w14:paraId="588C31E2" w14:textId="77777777" w:rsidR="00113708" w:rsidRPr="00113708" w:rsidRDefault="00113708" w:rsidP="00113708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lang w:val="es-MX"/>
        </w:rPr>
      </w:pPr>
      <w:r w:rsidRPr="00113708">
        <w:rPr>
          <w:b/>
          <w:lang w:val="es-MX"/>
        </w:rPr>
        <w:t xml:space="preserve">Lineamientos para la clasificación de la información. </w:t>
      </w:r>
    </w:p>
    <w:p w14:paraId="629ADFAD" w14:textId="77777777" w:rsidR="00113708" w:rsidRPr="00113708" w:rsidRDefault="00113708" w:rsidP="00113708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113708">
        <w:rPr>
          <w:lang w:val="es-MX"/>
        </w:rPr>
        <w:t xml:space="preserve">Alcance de la clasificación de la información: </w:t>
      </w:r>
    </w:p>
    <w:p w14:paraId="70F14C7D" w14:textId="77777777" w:rsidR="00113708" w:rsidRPr="00113708" w:rsidRDefault="00113708" w:rsidP="00113708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Documentos en papel:</w:t>
      </w:r>
      <w:r w:rsidRPr="00113708">
        <w:rPr>
          <w:lang w:val="es-MX"/>
        </w:rPr>
        <w:t xml:space="preserve"> se indica el nivel de confidencialidad en pie de página de cada página del documento; también se indica en la portada o en el sobre que contiene dicho documento, como también en la carpeta de archivo en la que se guarda el documento.</w:t>
      </w:r>
    </w:p>
    <w:p w14:paraId="05D2BF2C" w14:textId="78EE4E47" w:rsidR="00113708" w:rsidRPr="00113708" w:rsidRDefault="00113708" w:rsidP="00113708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Documentos electrónicos:</w:t>
      </w:r>
      <w:r w:rsidRPr="00113708">
        <w:rPr>
          <w:lang w:val="es-MX"/>
        </w:rPr>
        <w:t xml:space="preserve"> se indica el nivel de confidencialidad en pie de págin</w:t>
      </w:r>
      <w:r>
        <w:rPr>
          <w:lang w:val="es-MX"/>
        </w:rPr>
        <w:t>a de cada página del documento.</w:t>
      </w:r>
    </w:p>
    <w:p w14:paraId="2A4086B3" w14:textId="77777777" w:rsidR="00113708" w:rsidRPr="00113708" w:rsidRDefault="00113708" w:rsidP="00113708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Sistemas de información:</w:t>
      </w:r>
      <w:r w:rsidRPr="00113708">
        <w:rPr>
          <w:lang w:val="es-MX"/>
        </w:rPr>
        <w:t xml:space="preserve"> el nivel de confidencialidad en aplicaciones y bases de datos debe ser indicado en la pantalla de acceso al sistema.</w:t>
      </w:r>
    </w:p>
    <w:p w14:paraId="34646D68" w14:textId="77777777" w:rsidR="00113708" w:rsidRPr="00113708" w:rsidRDefault="00113708" w:rsidP="00113708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Correo electrónico:</w:t>
      </w:r>
      <w:r w:rsidRPr="00113708">
        <w:rPr>
          <w:lang w:val="es-MX"/>
        </w:rPr>
        <w:t xml:space="preserve"> se indica el nivel de confidencialidad en la primera línea del cuerpo del correo electrónico.</w:t>
      </w:r>
    </w:p>
    <w:p w14:paraId="3EDB74D7" w14:textId="551C3BD5" w:rsidR="00113708" w:rsidRPr="00113708" w:rsidRDefault="00113708" w:rsidP="00113708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lastRenderedPageBreak/>
        <w:t>Soporte de almacenamiento electrónico (discos, tarjetas de memoria, etc.):</w:t>
      </w:r>
      <w:r w:rsidRPr="00113708">
        <w:rPr>
          <w:lang w:val="es-MX"/>
        </w:rPr>
        <w:t xml:space="preserve"> se debe indicar el nivel de confidencialidad sobre la superficie de cada soporte</w:t>
      </w:r>
      <w:r>
        <w:rPr>
          <w:lang w:val="es-MX"/>
        </w:rPr>
        <w:t>.</w:t>
      </w:r>
    </w:p>
    <w:p w14:paraId="33FD02F8" w14:textId="72EC8A50" w:rsidR="00113708" w:rsidRPr="00113708" w:rsidRDefault="00113708" w:rsidP="00113708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lang w:val="es-MX"/>
        </w:rPr>
      </w:pPr>
      <w:r w:rsidRPr="00113708">
        <w:rPr>
          <w:b/>
          <w:lang w:val="es-MX"/>
        </w:rPr>
        <w:t>P</w:t>
      </w:r>
      <w:r w:rsidR="00AC40A9">
        <w:rPr>
          <w:b/>
          <w:lang w:val="es-MX"/>
        </w:rPr>
        <w:t>asos</w:t>
      </w:r>
      <w:r w:rsidRPr="00113708">
        <w:rPr>
          <w:b/>
          <w:lang w:val="es-MX"/>
        </w:rPr>
        <w:t xml:space="preserve"> de clasificación.</w:t>
      </w:r>
    </w:p>
    <w:p w14:paraId="373030EC" w14:textId="2A4E0256" w:rsidR="00113708" w:rsidRDefault="00113708" w:rsidP="00113708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113708">
        <w:rPr>
          <w:lang w:val="es-MX"/>
        </w:rPr>
        <w:t>La Gerencia de cada área deberá seguir los siguientes pasos para la clasificación.</w:t>
      </w:r>
    </w:p>
    <w:tbl>
      <w:tblPr>
        <w:tblStyle w:val="Tabladecuadrcula1clara-nfasis5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686"/>
      </w:tblGrid>
      <w:tr w:rsidR="00113708" w:rsidRPr="00113708" w14:paraId="5B1C529B" w14:textId="77777777" w:rsidTr="00B66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D78899E" w14:textId="24CBFFA6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s-MX"/>
              </w:rPr>
            </w:pPr>
            <w:r w:rsidRPr="00113708">
              <w:rPr>
                <w:lang w:val="es-MX"/>
              </w:rPr>
              <w:t>Nombre del paso</w:t>
            </w:r>
          </w:p>
        </w:tc>
        <w:tc>
          <w:tcPr>
            <w:tcW w:w="3686" w:type="dxa"/>
          </w:tcPr>
          <w:p w14:paraId="54444BC9" w14:textId="55FC8679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113708">
              <w:rPr>
                <w:lang w:val="es-MX"/>
              </w:rPr>
              <w:t>Responsabilidad</w:t>
            </w:r>
          </w:p>
        </w:tc>
      </w:tr>
      <w:tr w:rsidR="00113708" w:rsidRPr="00113708" w14:paraId="1D1E0B49" w14:textId="77777777" w:rsidTr="00B66744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899F66C" w14:textId="1A876E1C" w:rsidR="00113708" w:rsidRPr="00B66744" w:rsidRDefault="00113708" w:rsidP="00B66744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b w:val="0"/>
                <w:lang w:val="es-MX"/>
              </w:rPr>
            </w:pPr>
            <w:r w:rsidRPr="00B66744">
              <w:rPr>
                <w:b w:val="0"/>
                <w:lang w:val="es-MX"/>
              </w:rPr>
              <w:t>Ingreso del activo de información en el Inventario de activos</w:t>
            </w:r>
          </w:p>
        </w:tc>
        <w:tc>
          <w:tcPr>
            <w:tcW w:w="3686" w:type="dxa"/>
            <w:vAlign w:val="center"/>
          </w:tcPr>
          <w:p w14:paraId="758F7F92" w14:textId="2C7087CF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113708">
              <w:rPr>
                <w:lang w:val="es-MX"/>
              </w:rPr>
              <w:t>Propietario del activo</w:t>
            </w:r>
          </w:p>
        </w:tc>
      </w:tr>
      <w:tr w:rsidR="00113708" w:rsidRPr="00113708" w14:paraId="66799DC2" w14:textId="77777777" w:rsidTr="00B66744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24A3C41E" w14:textId="1664F7BC" w:rsidR="00113708" w:rsidRPr="00B66744" w:rsidRDefault="00113708" w:rsidP="00B66744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b w:val="0"/>
                <w:lang w:val="es-MX"/>
              </w:rPr>
            </w:pPr>
            <w:r w:rsidRPr="00B66744">
              <w:rPr>
                <w:b w:val="0"/>
                <w:lang w:val="es-MX"/>
              </w:rPr>
              <w:t>Clasificación de la información</w:t>
            </w:r>
          </w:p>
        </w:tc>
        <w:tc>
          <w:tcPr>
            <w:tcW w:w="3686" w:type="dxa"/>
            <w:vAlign w:val="center"/>
          </w:tcPr>
          <w:p w14:paraId="39A76926" w14:textId="4DB34A3D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113708">
              <w:rPr>
                <w:lang w:val="es-MX"/>
              </w:rPr>
              <w:t>Propietario del activo</w:t>
            </w:r>
          </w:p>
        </w:tc>
      </w:tr>
      <w:tr w:rsidR="00113708" w:rsidRPr="00113708" w14:paraId="7D6EA3B9" w14:textId="77777777" w:rsidTr="00B66744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2A61C34" w14:textId="2D6B8AB3" w:rsidR="00113708" w:rsidRPr="00B66744" w:rsidRDefault="00113708" w:rsidP="00B66744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b w:val="0"/>
                <w:lang w:val="es-MX"/>
              </w:rPr>
            </w:pPr>
            <w:r w:rsidRPr="00B66744">
              <w:rPr>
                <w:b w:val="0"/>
                <w:lang w:val="es-MX"/>
              </w:rPr>
              <w:t>Etiquetado de la información</w:t>
            </w:r>
          </w:p>
        </w:tc>
        <w:tc>
          <w:tcPr>
            <w:tcW w:w="3686" w:type="dxa"/>
            <w:vAlign w:val="center"/>
          </w:tcPr>
          <w:p w14:paraId="1994D2FB" w14:textId="4CDF7AE7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113708">
              <w:rPr>
                <w:lang w:val="es-MX"/>
              </w:rPr>
              <w:t>Propietario del activo</w:t>
            </w:r>
          </w:p>
        </w:tc>
      </w:tr>
      <w:tr w:rsidR="00113708" w:rsidRPr="00113708" w14:paraId="268A114F" w14:textId="77777777" w:rsidTr="00B66744">
        <w:trPr>
          <w:trHeight w:val="5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188BE76C" w14:textId="7609B03C" w:rsidR="00113708" w:rsidRPr="00B66744" w:rsidRDefault="00113708" w:rsidP="00B66744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b w:val="0"/>
                <w:lang w:val="es-MX"/>
              </w:rPr>
            </w:pPr>
            <w:r w:rsidRPr="00B66744">
              <w:rPr>
                <w:b w:val="0"/>
                <w:lang w:val="es-MX"/>
              </w:rPr>
              <w:t>Manejo de la información</w:t>
            </w:r>
          </w:p>
        </w:tc>
        <w:tc>
          <w:tcPr>
            <w:tcW w:w="3686" w:type="dxa"/>
            <w:vAlign w:val="center"/>
          </w:tcPr>
          <w:p w14:paraId="4A39CD69" w14:textId="0F3C2C5E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113708">
              <w:rPr>
                <w:lang w:val="es-MX"/>
              </w:rPr>
              <w:t>Personas que poseen derechos de acceso de acuerdo con esta Política</w:t>
            </w:r>
          </w:p>
        </w:tc>
      </w:tr>
    </w:tbl>
    <w:p w14:paraId="0DBC67A6" w14:textId="405AA803" w:rsidR="00113708" w:rsidRDefault="00B66744" w:rsidP="00B6674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B66744">
        <w:rPr>
          <w:lang w:val="es-MX"/>
        </w:rPr>
        <w:t>Si la información clasificada proviene de afuera de la Organización, el propietario del activo es el responsable de su clasificación según las reglas establecidas en esta política y esta persona se convierte en el propietario de ese activo de información</w:t>
      </w:r>
      <w:r>
        <w:rPr>
          <w:lang w:val="es-MX"/>
        </w:rPr>
        <w:t>.</w:t>
      </w:r>
    </w:p>
    <w:p w14:paraId="1DD36487" w14:textId="77777777" w:rsidR="00B66744" w:rsidRPr="00B66744" w:rsidRDefault="00B66744" w:rsidP="00B66744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lang w:val="es-MX"/>
        </w:rPr>
      </w:pPr>
      <w:r w:rsidRPr="00B66744">
        <w:rPr>
          <w:b/>
          <w:lang w:val="es-MX"/>
        </w:rPr>
        <w:t>Sanciones por incumplimiento.</w:t>
      </w:r>
    </w:p>
    <w:p w14:paraId="70EC560D" w14:textId="38463FF7" w:rsidR="00B66744" w:rsidRDefault="00B66744" w:rsidP="00B6674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B66744">
        <w:rPr>
          <w:lang w:val="es-MX"/>
        </w:rPr>
        <w:t>Si cualquier usuario, extrajera información confidencial o restringida que no fuera para el cumplimiento de las funciones de su puesto, quedará sujeto a las sanciones consideradas en la política de seguridad, la cual estipula que la Organización podrá dependiendo de la falta, rescindir la relación laboral y proceder legalmente contra el infractor.</w:t>
      </w:r>
    </w:p>
    <w:p w14:paraId="6ED1D884" w14:textId="77777777" w:rsidR="00B66744" w:rsidRPr="00B66744" w:rsidRDefault="00B66744" w:rsidP="00B66744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lang w:val="es-MX"/>
        </w:rPr>
      </w:pPr>
      <w:r w:rsidRPr="00B66744">
        <w:rPr>
          <w:b/>
          <w:lang w:val="es-MX"/>
        </w:rPr>
        <w:t>Lineamientos para tratar casos fortuitos.</w:t>
      </w:r>
    </w:p>
    <w:p w14:paraId="168716B6" w14:textId="77777777" w:rsidR="00B66744" w:rsidRDefault="00B66744" w:rsidP="00B6674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B66744">
        <w:rPr>
          <w:lang w:val="es-MX"/>
        </w:rPr>
        <w:t>por causa accidental algún usuario recibiera un correo con un documento sobre el cual no debiera tener acceso, deberá eliminarlo inmediatamente y notificar al remitente de dicho documento.</w:t>
      </w:r>
    </w:p>
    <w:p w14:paraId="7A10A8E4" w14:textId="110D8FD1" w:rsidR="00B66744" w:rsidRPr="00B66744" w:rsidRDefault="00B66744" w:rsidP="00B6674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B66744">
        <w:rPr>
          <w:lang w:val="es-MX"/>
        </w:rPr>
        <w:t>Si llegase a ocurrir algún imprevisto con respecto a fugas de información no previstas, estas deberán ser tratadas por las Gerencias de cada área con respecto a Administración Jurídica y Talento Humano quien a su vez determinarán las acciones legales o disciplinarias correspondientes</w:t>
      </w:r>
      <w:r>
        <w:rPr>
          <w:lang w:val="es-MX"/>
        </w:rPr>
        <w:t>.</w:t>
      </w:r>
    </w:p>
    <w:p w14:paraId="68985651" w14:textId="77777777" w:rsidR="00B66744" w:rsidRPr="00B66744" w:rsidRDefault="00B66744" w:rsidP="00B66744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szCs w:val="16"/>
          <w:lang w:val="es-MX"/>
        </w:rPr>
      </w:pPr>
      <w:r w:rsidRPr="00B66744">
        <w:rPr>
          <w:b/>
          <w:lang w:val="es-MX"/>
        </w:rPr>
        <w:t>Validez y gestión de documento.</w:t>
      </w:r>
    </w:p>
    <w:p w14:paraId="75F96867" w14:textId="0E83A591" w:rsidR="00B66744" w:rsidRPr="00B66744" w:rsidRDefault="00B66744" w:rsidP="00B6674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B66744">
        <w:rPr>
          <w:lang w:val="es-MX"/>
        </w:rPr>
        <w:t>La</w:t>
      </w:r>
      <w:r w:rsidR="00AC40A9">
        <w:rPr>
          <w:lang w:val="es-MX"/>
        </w:rPr>
        <w:t>s</w:t>
      </w:r>
      <w:r w:rsidRPr="00B66744">
        <w:rPr>
          <w:lang w:val="es-MX"/>
        </w:rPr>
        <w:t xml:space="preserve"> Gerencia</w:t>
      </w:r>
      <w:r w:rsidR="00AC40A9">
        <w:rPr>
          <w:lang w:val="es-MX"/>
        </w:rPr>
        <w:t>s</w:t>
      </w:r>
      <w:r w:rsidRPr="00B66744">
        <w:rPr>
          <w:lang w:val="es-MX"/>
        </w:rPr>
        <w:t xml:space="preserve"> de cada área deberá</w:t>
      </w:r>
      <w:r w:rsidR="00AC40A9">
        <w:rPr>
          <w:lang w:val="es-MX"/>
        </w:rPr>
        <w:t>n</w:t>
      </w:r>
      <w:r w:rsidRPr="00B66744">
        <w:rPr>
          <w:lang w:val="es-MX"/>
        </w:rPr>
        <w:t xml:space="preserve"> evaluar la efectividad y adecuación de este documento </w:t>
      </w:r>
      <w:r w:rsidR="00AC40A9">
        <w:rPr>
          <w:lang w:val="es-MX"/>
        </w:rPr>
        <w:t>anualmente</w:t>
      </w:r>
      <w:r w:rsidRPr="00B66744">
        <w:rPr>
          <w:lang w:val="es-MX"/>
        </w:rPr>
        <w:t xml:space="preserve">, es necesario tener en cuenta los siguientes criterios: </w:t>
      </w:r>
    </w:p>
    <w:p w14:paraId="08320974" w14:textId="43038E20" w:rsidR="00B66744" w:rsidRPr="00B66744" w:rsidRDefault="00B66744" w:rsidP="00B6674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B66744">
        <w:rPr>
          <w:lang w:val="es-MX"/>
        </w:rPr>
        <w:t xml:space="preserve">Cantidad de incidentes relacionados con el acceso </w:t>
      </w:r>
      <w:r w:rsidRPr="00B66744">
        <w:rPr>
          <w:lang w:val="es-MX"/>
        </w:rPr>
        <w:t>no autorizado a la información.</w:t>
      </w:r>
    </w:p>
    <w:p w14:paraId="330B187D" w14:textId="4A2A791B" w:rsidR="00113708" w:rsidRPr="00AC40A9" w:rsidRDefault="00B66744" w:rsidP="00B6674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B66744">
        <w:rPr>
          <w:lang w:val="es-MX"/>
        </w:rPr>
        <w:t>Cantidad de activos de información clasificados con un nivel de confidencialidad inadecuado</w:t>
      </w:r>
      <w:r w:rsidRPr="00B66744">
        <w:rPr>
          <w:lang w:val="es-MX"/>
        </w:rPr>
        <w:t>.</w:t>
      </w:r>
    </w:p>
    <w:p w14:paraId="0230129E" w14:textId="77777777" w:rsidR="00AC40A9" w:rsidRPr="00AC40A9" w:rsidRDefault="00AC40A9" w:rsidP="00AC40A9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szCs w:val="16"/>
          <w:lang w:val="es-MX"/>
        </w:rPr>
      </w:pPr>
      <w:r w:rsidRPr="00AC40A9">
        <w:rPr>
          <w:b/>
          <w:lang w:val="es-MX"/>
        </w:rPr>
        <w:t>Periodicidad de la política.</w:t>
      </w:r>
    </w:p>
    <w:p w14:paraId="095D350E" w14:textId="77777777" w:rsidR="00AC40A9" w:rsidRPr="00AC40A9" w:rsidRDefault="00AC40A9" w:rsidP="00AC40A9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AC40A9">
        <w:rPr>
          <w:lang w:val="es-MX"/>
        </w:rPr>
        <w:t xml:space="preserve">Se hará revisión de la política cuando: </w:t>
      </w:r>
    </w:p>
    <w:p w14:paraId="27E1B17E" w14:textId="77777777" w:rsidR="00AC40A9" w:rsidRPr="00AC40A9" w:rsidRDefault="00AC40A9" w:rsidP="00AC40A9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AC40A9">
        <w:rPr>
          <w:lang w:val="es-MX"/>
        </w:rPr>
        <w:t>Exista cambio de tecnología, equipos y/o procesos.</w:t>
      </w:r>
    </w:p>
    <w:p w14:paraId="19901775" w14:textId="77777777" w:rsidR="00AC40A9" w:rsidRPr="00AC40A9" w:rsidRDefault="00AC40A9" w:rsidP="00AC40A9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AC40A9">
        <w:rPr>
          <w:lang w:val="es-MX"/>
        </w:rPr>
        <w:t>La utilización y/o activos sean modificados considerablemente.</w:t>
      </w:r>
    </w:p>
    <w:p w14:paraId="001FA1D5" w14:textId="77777777" w:rsidR="00AC40A9" w:rsidRPr="00AC40A9" w:rsidRDefault="00AC40A9" w:rsidP="00AC40A9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AC40A9">
        <w:rPr>
          <w:lang w:val="es-MX"/>
        </w:rPr>
        <w:lastRenderedPageBreak/>
        <w:t>Se presenta algún incidente derivado de la utilización del activo.</w:t>
      </w:r>
    </w:p>
    <w:p w14:paraId="3ED6DC55" w14:textId="77777777" w:rsidR="00AC40A9" w:rsidRDefault="00AC40A9" w:rsidP="00AC40A9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AC40A9">
        <w:rPr>
          <w:lang w:val="es-MX"/>
        </w:rPr>
        <w:t>Es responsabilidad del dueño de este documento revisar al menos una vez al año que este se encuentra actualizado y revisado.</w:t>
      </w:r>
    </w:p>
    <w:p w14:paraId="62B71DB3" w14:textId="0DE6688D" w:rsidR="00F61F05" w:rsidRPr="00AC40A9" w:rsidRDefault="00AC40A9" w:rsidP="00AC40A9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AC40A9">
        <w:rPr>
          <w:lang w:val="es-MX"/>
        </w:rPr>
        <w:t>Se dará un periodo mínimo de maduración a la política establecido por el área de Infraestructura o Gerencia de TI</w:t>
      </w:r>
      <w:r>
        <w:rPr>
          <w:lang w:val="es-MX"/>
        </w:rPr>
        <w:t>.</w:t>
      </w: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8561B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0C694A81" w:rsidR="00A97B11" w:rsidRPr="00F1397F" w:rsidRDefault="00AC40A9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72D269DA" w:rsidR="00A97B11" w:rsidRPr="00F1397F" w:rsidRDefault="00AC40A9" w:rsidP="00AC40A9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shd w:val="clear" w:color="auto" w:fill="auto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Pr="00E8237D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sectPr w:rsidR="001E29EA" w:rsidRPr="00E8237D" w:rsidSect="00872F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28E8" w14:textId="77777777" w:rsidR="00C92727" w:rsidRDefault="00C92727">
      <w:r>
        <w:separator/>
      </w:r>
    </w:p>
  </w:endnote>
  <w:endnote w:type="continuationSeparator" w:id="0">
    <w:p w14:paraId="2F0B9801" w14:textId="77777777" w:rsidR="00C92727" w:rsidRDefault="00C9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94A5" w14:textId="77777777" w:rsidR="00AC40A9" w:rsidRDefault="00AC40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6E24AF1B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C40A9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C40A9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8561BF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3BAE9A0D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C40A9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C40A9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67D2A" w14:textId="77777777" w:rsidR="00C92727" w:rsidRDefault="00C92727">
      <w:r>
        <w:separator/>
      </w:r>
    </w:p>
  </w:footnote>
  <w:footnote w:type="continuationSeparator" w:id="0">
    <w:p w14:paraId="31691319" w14:textId="77777777" w:rsidR="00C92727" w:rsidRDefault="00C9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AC40A9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33794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8561BF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AC40A9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33795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AC40A9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33793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F855EF" w:rsidRPr="008561BF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D64E17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lang w:val="es-MX"/>
            </w:rPr>
          </w:pPr>
          <w:r w:rsidRPr="00D64E17">
            <w:rPr>
              <w:b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035D9869" w:rsidR="00F855EF" w:rsidRPr="00D64E17" w:rsidRDefault="008561BF" w:rsidP="00461A35">
          <w:pPr>
            <w:overflowPunct/>
            <w:autoSpaceDE/>
            <w:autoSpaceDN/>
            <w:adjustRightInd/>
            <w:jc w:val="center"/>
            <w:textAlignment w:val="auto"/>
            <w:rPr>
              <w:lang w:val="es-MX"/>
            </w:rPr>
          </w:pPr>
          <w:r w:rsidRPr="008561BF">
            <w:rPr>
              <w:lang w:val="es-MX"/>
            </w:rPr>
            <w:t>XMI-A28-POL-02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D64E17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lang w:val="es-MX"/>
            </w:rPr>
          </w:pPr>
          <w:r w:rsidRPr="00D64E17">
            <w:rPr>
              <w:b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4D845611" w:rsidR="00F855EF" w:rsidRPr="00D64E17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lang w:val="es-MX"/>
            </w:rPr>
          </w:pPr>
          <w:r w:rsidRPr="00D64E17">
            <w:rPr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D64E17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lang w:val="es-MX"/>
            </w:rPr>
          </w:pPr>
          <w:r w:rsidRPr="00D64E17">
            <w:rPr>
              <w:b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6B19077D" w:rsidR="00F855EF" w:rsidRPr="00D64E17" w:rsidRDefault="00F855EF" w:rsidP="00FC17C9">
          <w:pPr>
            <w:overflowPunct/>
            <w:autoSpaceDE/>
            <w:autoSpaceDN/>
            <w:adjustRightInd/>
            <w:jc w:val="center"/>
            <w:textAlignment w:val="auto"/>
            <w:rPr>
              <w:lang w:val="es-MX"/>
            </w:rPr>
          </w:pP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Default="00F855EF" w:rsidP="00F855EF">
          <w:pPr>
            <w:jc w:val="center"/>
            <w:rPr>
              <w:b/>
              <w:sz w:val="24"/>
              <w:lang w:val="es-MX"/>
            </w:rPr>
          </w:pPr>
          <w:r w:rsidRPr="001B7B90">
            <w:rPr>
              <w:b/>
              <w:sz w:val="24"/>
              <w:lang w:val="es-MX"/>
            </w:rPr>
            <w:t>XIGA Movilidad Inteligente,</w:t>
          </w:r>
        </w:p>
        <w:p w14:paraId="5C29729D" w14:textId="3EDBFC3B" w:rsidR="00F855EF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lang w:val="es-MX"/>
            </w:rPr>
          </w:pPr>
          <w:r w:rsidRPr="001B7B90">
            <w:rPr>
              <w:b/>
              <w:sz w:val="24"/>
              <w:lang w:val="es-MX"/>
            </w:rPr>
            <w:t>S.A. de C.V.</w:t>
          </w:r>
        </w:p>
      </w:tc>
    </w:tr>
    <w:tr w:rsidR="00F855EF" w:rsidRPr="008561BF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D64E17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lang w:val="es-MX"/>
            </w:rPr>
          </w:pPr>
          <w:r w:rsidRPr="00D64E17">
            <w:rPr>
              <w:b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66258BC2" w:rsidR="00F855EF" w:rsidRPr="00D64E17" w:rsidRDefault="001F0C8C" w:rsidP="00872C12">
          <w:pPr>
            <w:jc w:val="center"/>
            <w:rPr>
              <w:lang w:val="es-MX"/>
            </w:rPr>
          </w:pPr>
          <w:bookmarkStart w:id="0" w:name="_GoBack"/>
          <w:r w:rsidRPr="001F0C8C">
            <w:rPr>
              <w:lang w:val="es-MX"/>
            </w:rPr>
            <w:t>Política de clasificación y etiquetado de la información</w:t>
          </w:r>
          <w:bookmarkEnd w:id="0"/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461A35" w:rsidRDefault="00F855EF" w:rsidP="00461A35">
          <w:pPr>
            <w:jc w:val="center"/>
            <w:rPr>
              <w:lang w:val="es-MX"/>
            </w:rPr>
          </w:pPr>
        </w:p>
      </w:tc>
    </w:tr>
  </w:tbl>
  <w:p w14:paraId="0E12FA89" w14:textId="77777777" w:rsidR="00461A35" w:rsidRDefault="00461A35" w:rsidP="00461A35">
    <w:pPr>
      <w:rPr>
        <w:b/>
        <w:lang w:val="es-MX"/>
      </w:rPr>
    </w:pPr>
  </w:p>
  <w:p w14:paraId="5CC58367" w14:textId="0327106D" w:rsidR="00461A35" w:rsidRPr="00F855EF" w:rsidRDefault="00461A35" w:rsidP="00F855EF">
    <w:pPr>
      <w:rPr>
        <w:color w:val="000000" w:themeColor="text1"/>
        <w:lang w:val="es-MX"/>
      </w:rPr>
    </w:pPr>
    <w:r w:rsidRPr="00F855EF">
      <w:rPr>
        <w:b/>
        <w:color w:val="000000" w:themeColor="text1"/>
        <w:lang w:val="es-MX"/>
      </w:rPr>
      <w:t xml:space="preserve">Requisito aplicable: </w:t>
    </w:r>
    <w:r w:rsidR="008561BF">
      <w:rPr>
        <w:b/>
        <w:color w:val="000000" w:themeColor="text1"/>
        <w:lang w:val="es-MX"/>
      </w:rPr>
      <w:t>1</w:t>
    </w:r>
    <w:r w:rsidR="001F0C8C">
      <w:rPr>
        <w:b/>
        <w:color w:val="000000" w:themeColor="text1"/>
        <w:lang w:val="es-MX"/>
      </w:rPr>
      <w:t>7,18,19</w:t>
    </w:r>
  </w:p>
  <w:p w14:paraId="7780C86D" w14:textId="28354D1E" w:rsidR="001E29EA" w:rsidRPr="0097281E" w:rsidRDefault="001E29EA">
    <w:pPr>
      <w:pStyle w:val="Encabezado"/>
      <w:rPr>
        <w:bCs/>
        <w:sz w:val="18"/>
        <w:lang w:val="es-MX"/>
      </w:rPr>
    </w:pPr>
  </w:p>
  <w:p w14:paraId="2CF9221B" w14:textId="77777777" w:rsidR="00595320" w:rsidRDefault="00595320"/>
  <w:p w14:paraId="1866F43E" w14:textId="77777777" w:rsidR="00595320" w:rsidRDefault="00595320"/>
  <w:p w14:paraId="47197DF7" w14:textId="77777777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96C3C08"/>
    <w:multiLevelType w:val="hybridMultilevel"/>
    <w:tmpl w:val="A06E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991BE9"/>
    <w:multiLevelType w:val="hybridMultilevel"/>
    <w:tmpl w:val="BB86B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33796" fillcolor="white">
      <v:fill color="white"/>
    </o:shapedefaults>
    <o:shapelayout v:ext="edit">
      <o:idmap v:ext="edit" data="3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3708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140D"/>
    <w:rsid w:val="001C4E00"/>
    <w:rsid w:val="001D0FF8"/>
    <w:rsid w:val="001E1F80"/>
    <w:rsid w:val="001E29EA"/>
    <w:rsid w:val="001E32A6"/>
    <w:rsid w:val="001E4545"/>
    <w:rsid w:val="001E6B0E"/>
    <w:rsid w:val="001F0C8C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1B1B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561BF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C40A9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6744"/>
    <w:rsid w:val="00B66EB0"/>
    <w:rsid w:val="00B772EE"/>
    <w:rsid w:val="00B848E2"/>
    <w:rsid w:val="00BA08A4"/>
    <w:rsid w:val="00BB4C90"/>
    <w:rsid w:val="00BB7846"/>
    <w:rsid w:val="00BC1C37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6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table" w:styleId="Tabladecuadrcula1clara-nfasis5">
    <w:name w:val="Grid Table 1 Light Accent 5"/>
    <w:basedOn w:val="Tablanormal"/>
    <w:uiPriority w:val="46"/>
    <w:rsid w:val="00113708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97146-0450-46D4-948D-789348629F77}">
  <ds:schemaRefs>
    <ds:schemaRef ds:uri="http://schemas.microsoft.com/office/2006/documentManagement/types"/>
    <ds:schemaRef ds:uri="5c526cf6-6d1d-4673-a2c2-fd262c1babbc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d1c11e9e-5d52-465f-89ed-23c3fd78488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5037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2025-10-08T19:04:00Z</dcterms:created>
  <dcterms:modified xsi:type="dcterms:W3CDTF">2025-10-08T19:04:00Z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